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233505" w:rsidRPr="003D1737" w:rsidRDefault="008D53E0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  <w:u w:val="single"/>
        </w:rPr>
        <w:t>М</w:t>
      </w:r>
      <w:r w:rsidR="00233505" w:rsidRPr="003D1737">
        <w:rPr>
          <w:szCs w:val="28"/>
          <w:u w:val="single"/>
        </w:rPr>
        <w:t xml:space="preserve">униципального </w:t>
      </w:r>
      <w:r w:rsidR="00494195">
        <w:rPr>
          <w:szCs w:val="28"/>
          <w:u w:val="single"/>
        </w:rPr>
        <w:t xml:space="preserve">бюджетного </w:t>
      </w:r>
      <w:r w:rsidR="00233505" w:rsidRPr="003D1737">
        <w:rPr>
          <w:szCs w:val="28"/>
          <w:u w:val="single"/>
        </w:rPr>
        <w:t>общеобр</w:t>
      </w:r>
      <w:r w:rsidR="00233505">
        <w:rPr>
          <w:szCs w:val="28"/>
          <w:u w:val="single"/>
        </w:rPr>
        <w:t>азовательного учреждения средней</w:t>
      </w:r>
      <w:r w:rsidR="00233505" w:rsidRPr="003D1737">
        <w:rPr>
          <w:szCs w:val="28"/>
          <w:u w:val="single"/>
        </w:rPr>
        <w:t xml:space="preserve"> общеобразовательная школа №45 </w:t>
      </w:r>
      <w:r w:rsidR="00494195">
        <w:rPr>
          <w:szCs w:val="28"/>
          <w:u w:val="single"/>
        </w:rPr>
        <w:t xml:space="preserve">                   </w:t>
      </w:r>
      <w:r w:rsidR="007F6D4A">
        <w:rPr>
          <w:szCs w:val="28"/>
          <w:u w:val="single"/>
        </w:rPr>
        <w:t xml:space="preserve">проселка </w:t>
      </w:r>
      <w:r w:rsidR="00233505" w:rsidRPr="003D1737">
        <w:rPr>
          <w:szCs w:val="28"/>
          <w:u w:val="single"/>
        </w:rPr>
        <w:t>Саук</w:t>
      </w:r>
      <w:r w:rsidR="005746F9">
        <w:rPr>
          <w:szCs w:val="28"/>
          <w:u w:val="single"/>
        </w:rPr>
        <w:t>-Д</w:t>
      </w:r>
      <w:r w:rsidR="00233505" w:rsidRPr="003D1737">
        <w:rPr>
          <w:szCs w:val="28"/>
          <w:u w:val="single"/>
        </w:rPr>
        <w:t>ере</w:t>
      </w:r>
      <w:r w:rsidR="007F6D4A">
        <w:rPr>
          <w:szCs w:val="28"/>
          <w:u w:val="single"/>
        </w:rPr>
        <w:t xml:space="preserve"> муниципального образования Крымский район</w:t>
      </w:r>
    </w:p>
    <w:p w:rsidR="00233505" w:rsidRPr="003D1737" w:rsidRDefault="005A2214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2014-2015</w:t>
      </w:r>
      <w:r w:rsidR="00233505" w:rsidRPr="003D1737">
        <w:rPr>
          <w:b/>
          <w:szCs w:val="28"/>
        </w:rPr>
        <w:t xml:space="preserve"> учебном году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  <w:lang w:val="en-US"/>
        </w:rPr>
        <w:t>I</w:t>
      </w:r>
      <w:r w:rsidRPr="003D1737">
        <w:rPr>
          <w:b/>
          <w:szCs w:val="28"/>
        </w:rPr>
        <w:t>. Констатирующая часть.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4763"/>
        <w:gridCol w:w="2209"/>
        <w:gridCol w:w="3769"/>
        <w:gridCol w:w="3753"/>
        <w:gridCol w:w="5634"/>
        <w:gridCol w:w="5283"/>
        <w:gridCol w:w="5283"/>
      </w:tblGrid>
      <w:tr w:rsidR="00233505" w:rsidRPr="00122AE4" w:rsidTr="004E623A">
        <w:trPr>
          <w:gridAfter w:val="3"/>
          <w:wAfter w:w="16200" w:type="dxa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Направление/ Наименование показателя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7F6D4A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A2214">
              <w:rPr>
                <w:rFonts w:ascii="Times New Roman" w:hAnsi="Times New Roman"/>
                <w:sz w:val="28"/>
                <w:szCs w:val="28"/>
              </w:rPr>
              <w:t>2013-2014</w:t>
            </w:r>
            <w:r w:rsidR="0049419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8D53E0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5A2214">
              <w:rPr>
                <w:rFonts w:ascii="Times New Roman" w:hAnsi="Times New Roman"/>
                <w:sz w:val="28"/>
                <w:szCs w:val="28"/>
              </w:rPr>
              <w:t>4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-201</w:t>
            </w:r>
            <w:r w:rsidR="005A2214">
              <w:rPr>
                <w:rFonts w:ascii="Times New Roman" w:hAnsi="Times New Roman"/>
                <w:sz w:val="28"/>
                <w:szCs w:val="28"/>
              </w:rPr>
              <w:t>5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средняя </w:t>
            </w:r>
            <w:r w:rsidR="007F6D4A">
              <w:rPr>
                <w:rFonts w:ascii="Times New Roman" w:hAnsi="Times New Roman"/>
                <w:sz w:val="28"/>
                <w:szCs w:val="28"/>
              </w:rPr>
              <w:t>общеобразовательная школа №45 поселка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Саук</w:t>
            </w:r>
            <w:r w:rsidR="00F12C31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23Л01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/>
                <w:sz w:val="28"/>
                <w:szCs w:val="28"/>
              </w:rPr>
              <w:t>002180</w:t>
            </w:r>
          </w:p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</w:t>
            </w:r>
            <w:r w:rsidR="007F6D4A">
              <w:rPr>
                <w:rFonts w:ascii="Times New Roman" w:hAnsi="Times New Roman"/>
                <w:sz w:val="28"/>
                <w:szCs w:val="28"/>
              </w:rPr>
              <w:t>05357 от 13марта 2013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23А01 №000380</w:t>
            </w:r>
          </w:p>
          <w:p w:rsidR="00233505" w:rsidRPr="00122AE4" w:rsidRDefault="00233505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й № 02637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06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3E77">
              <w:rPr>
                <w:rFonts w:ascii="Times New Roman" w:hAnsi="Times New Roman"/>
                <w:sz w:val="28"/>
                <w:szCs w:val="28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353346.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Краснодарский край,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Крымский район,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F12C31">
              <w:rPr>
                <w:rFonts w:ascii="Times New Roman" w:hAnsi="Times New Roman"/>
                <w:sz w:val="28"/>
                <w:szCs w:val="28"/>
              </w:rPr>
              <w:t>Саук-Дере, ул. 60 лет о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бразования СССР</w:t>
            </w:r>
            <w:r w:rsidR="007F6D4A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Сайт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8D53E0" w:rsidRDefault="00CA379A" w:rsidP="00D95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kk</w:t>
              </w:r>
              <w:r w:rsidR="007F6D4A" w:rsidRPr="008D53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soh45.ru</w:t>
              </w:r>
            </w:hyperlink>
            <w:r w:rsidR="007F6D4A" w:rsidRPr="008D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CA379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233505" w:rsidRPr="00122AE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uo-27-soh-45@mail.ru</w:t>
              </w:r>
            </w:hyperlink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учреждений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Детской музыкальной школы ст. Нижнебаканской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Отделение Детской музыкальной школы ст. Нижнебаканской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ДЮСШ №2 г. Крымска, отделение КДЮСШ ст. Варениковской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ДЮСШ №2 г. Крымска, отделение КДЮСШ ст. Варениковской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ере 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50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 Состав обучающихся. Социальная характеристика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обучающихся, из них: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C171C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C171C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сирот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опекаемых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5A22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на дому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в форме экстерната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D95409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D95409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35/46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28/93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12/24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3/8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3.1.14.</w:t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1/28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3-тьи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кл./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1/26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5A2214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1/26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1/23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1/6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11-ые классы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142F79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142F79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11/243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53E0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142F79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E0" w:rsidRPr="00122AE4" w:rsidRDefault="008D53E0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2F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3.4. Данные о национальном составе обучающихся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3"/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- многонациональная школа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Структура управления общеобразовательным учреждением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педагогического коллектива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 августа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Общим собранием трудового коллектива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 сентября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17 апреля 2002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органы</w:t>
            </w:r>
          </w:p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школы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 марта 2007 года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5.1. Кадровое обеспечение учебного процесса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средне – специальное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Квалификация педагогов: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разряды 7-12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5-ти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142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5.1.4.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25-30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30-35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40-45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2F7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2F79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322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9" w:rsidRPr="00122AE4" w:rsidRDefault="0029322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9" w:rsidRPr="00122AE4" w:rsidRDefault="0029322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Краевой тур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Награждены премиями: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142F79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владеют ИКТ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Обеспеченность профильного обучения и предпрофильной подготовки учителями не ниже 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Обеспечение температурного режима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оборудованных аварийных выходов, необходимого количества средств пожаротушения, подъездных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путей к зданию, отвечающих всем требованиям пожарной безопасности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2AE4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 оборудованными раздевалками, действующими душевыми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комнатами и туалетами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учащихся (но не менее1 класса в учреждении)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здании, где расположено учреждение, собственного (или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условиях договора пользования) лицензированного медицинского кабинета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B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B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мультимедийный проектор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5B78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78" w:rsidRPr="00122AE4" w:rsidRDefault="00855B7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9419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в день на одного обучающиегося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питание обучающихся в день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5.3.3.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обучающихся классов КРО У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- 7-10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- 11-17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142F79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79" w:rsidRPr="00122AE4" w:rsidRDefault="00142F7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142F79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9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Питаются бесплатно обучающиеся из малообеспеченных семей, в том числе: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Охвачено 2-х разовым питанием обучающих, включая посещающих ГПД, всего: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 100% 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50% оплатой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5-6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0B1245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93E7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45 минут;</w:t>
            </w:r>
          </w:p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40 минут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45 минут;</w:t>
            </w:r>
          </w:p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40 минут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E623A" w:rsidRPr="00122AE4" w:rsidRDefault="004E623A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1а,2а,</w:t>
            </w:r>
            <w:r w:rsidR="00307147">
              <w:rPr>
                <w:rFonts w:ascii="Times New Roman" w:hAnsi="Times New Roman"/>
                <w:sz w:val="28"/>
                <w:szCs w:val="28"/>
              </w:rPr>
              <w:t>3а,</w:t>
            </w:r>
            <w:r>
              <w:rPr>
                <w:rFonts w:ascii="Times New Roman" w:hAnsi="Times New Roman"/>
                <w:sz w:val="28"/>
                <w:szCs w:val="28"/>
              </w:rPr>
              <w:t>4а,5а,6а,</w:t>
            </w:r>
            <w:r w:rsidRPr="003302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а,8а,9а,10а,11а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1а,2а,3а,4а,5а,6а,</w:t>
            </w:r>
            <w:r w:rsidRPr="003302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а,8а,9а,10а,11а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307147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07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- 09.11.1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03.11.14 - 09.11.14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30.12.12 – 12</w:t>
            </w:r>
            <w:r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29.12.14 – 11.01.15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07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24.03.14 - 01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22.03.15 - 30.03.15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26.05.14 – 31.08.14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26.05.15 – 31.08.15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496AD8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496AD8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307147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122AE4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496AD8" w:rsidRDefault="00307147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7" w:rsidRPr="00496AD8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7.1.2.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Установление долей ФОТ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доля ФОТ педагогического персонала осуществляющего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учебный процесс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30714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496AD8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71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496AD8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7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расходов на стимулирующую надтарифную часть ФОТ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71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0875DD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7147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AE0DF3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30714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30714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7.1.6.</w:t>
            </w:r>
          </w:p>
        </w:tc>
        <w:tc>
          <w:tcPr>
            <w:tcW w:w="1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Бюджет ОУ на финансовый год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5"/>
            </w:r>
            <w:r w:rsidRPr="00122AE4">
              <w:rPr>
                <w:rFonts w:ascii="Times New Roman" w:hAnsi="Times New Roman"/>
                <w:sz w:val="28"/>
                <w:szCs w:val="28"/>
              </w:rPr>
              <w:t>,  в том числе: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Услуги связи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CC1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453,53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47EA2" w:rsidRDefault="004E623A" w:rsidP="002D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4CC1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F736BA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3814,42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F736BA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1059,1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3104,6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1126,8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2463,3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2FD1" w:rsidRPr="00122AE4" w:rsidTr="004E623A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142FD1" w:rsidRPr="00122AE4" w:rsidRDefault="00142FD1" w:rsidP="00D95409"/>
        </w:tc>
        <w:tc>
          <w:tcPr>
            <w:tcW w:w="5283" w:type="dxa"/>
          </w:tcPr>
          <w:p w:rsidR="00142FD1" w:rsidRPr="00122AE4" w:rsidRDefault="00142FD1" w:rsidP="00D95409"/>
        </w:tc>
        <w:tc>
          <w:tcPr>
            <w:tcW w:w="5283" w:type="dxa"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75D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</w:tr>
      <w:tr w:rsidR="000875DD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8D5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Результаты учебной деятельности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качества обученности учащихся на разных ступенях обучения, соотношение качества обученности выпускников начальной школы и учащихся подростковой ступени (5,6,7 классы)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кл-53,7</w:t>
            </w:r>
          </w:p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кл-29,4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кл-48</w:t>
            </w:r>
          </w:p>
          <w:p w:rsidR="00814CC1" w:rsidRPr="00122AE4" w:rsidRDefault="00814CC1" w:rsidP="00087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кл-32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CC1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814CC1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-7,3</w:t>
            </w:r>
          </w:p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CC1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814CC1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Default="00814CC1" w:rsidP="00814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:rsidR="00814CC1" w:rsidRDefault="00814CC1" w:rsidP="00814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-5,5</w:t>
            </w:r>
          </w:p>
          <w:p w:rsidR="004E623A" w:rsidRPr="00122AE4" w:rsidRDefault="00814CC1" w:rsidP="00814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E623A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4C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623A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3A" w:rsidRPr="00122AE4" w:rsidRDefault="004E623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4CC1">
              <w:rPr>
                <w:rFonts w:ascii="Times New Roman" w:hAnsi="Times New Roman"/>
                <w:sz w:val="28"/>
                <w:szCs w:val="28"/>
              </w:rPr>
              <w:t>,41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школьников, ставших победителями и призерами предметных олимпиадах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8.4.2.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814CC1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(международного) уровня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0AD2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5A2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D2" w:rsidRPr="00122AE4" w:rsidRDefault="00990AD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1C171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ОУ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14CC1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учащихся дополнительным образованием (в % от общей численности)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64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1" w:rsidRPr="00122AE4" w:rsidRDefault="00814CC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СДК п. Саукдере, детская музыкальная школа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ст.Нижнебаканской, КДЮСШ ст. Варениковской, ДЮСШ №2 г.Крымска, ДЭБЦ г. Крымска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C30F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СДК п. Саукдере, детская музыкальная школа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ст.Нижнебаканской, КДЮСШ ст. Варениковской, ДЮСШ №2 г.Крымска, ДЭБЦ г. Крымска</w:t>
            </w:r>
          </w:p>
        </w:tc>
      </w:tr>
      <w:tr w:rsidR="00B073CC" w:rsidRPr="00122AE4" w:rsidTr="004E623A">
        <w:trPr>
          <w:gridAfter w:val="3"/>
          <w:wAfter w:w="1620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</w:tr>
    </w:tbl>
    <w:p w:rsidR="000518CC" w:rsidRPr="003D1737" w:rsidRDefault="000518CC" w:rsidP="000518CC">
      <w:pPr>
        <w:pStyle w:val="ad"/>
        <w:jc w:val="center"/>
        <w:rPr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990AD2" w:rsidRDefault="00990AD2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814CC1" w:rsidRDefault="00814CC1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lastRenderedPageBreak/>
        <w:t xml:space="preserve">Публичный доклад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C30F05" w:rsidRPr="003D1737" w:rsidRDefault="00C30F05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 xml:space="preserve">муниципального </w:t>
      </w:r>
      <w:r>
        <w:rPr>
          <w:szCs w:val="28"/>
          <w:u w:val="single"/>
        </w:rPr>
        <w:t xml:space="preserve">бюджетного </w:t>
      </w:r>
      <w:r w:rsidRPr="003D1737">
        <w:rPr>
          <w:szCs w:val="28"/>
          <w:u w:val="single"/>
        </w:rPr>
        <w:t>общеобр</w:t>
      </w:r>
      <w:r>
        <w:rPr>
          <w:szCs w:val="28"/>
          <w:u w:val="single"/>
        </w:rPr>
        <w:t>азовательного учреждения средней</w:t>
      </w:r>
      <w:r w:rsidRPr="003D1737">
        <w:rPr>
          <w:szCs w:val="28"/>
          <w:u w:val="single"/>
        </w:rPr>
        <w:t xml:space="preserve"> общеобразовательная школа №45 </w:t>
      </w:r>
      <w:r>
        <w:rPr>
          <w:szCs w:val="28"/>
          <w:u w:val="single"/>
        </w:rPr>
        <w:t xml:space="preserve">                   проселка </w:t>
      </w:r>
      <w:r w:rsidRPr="003D1737">
        <w:rPr>
          <w:szCs w:val="28"/>
          <w:u w:val="single"/>
        </w:rPr>
        <w:t>Саук</w:t>
      </w:r>
      <w:r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  <w:r>
        <w:rPr>
          <w:szCs w:val="28"/>
          <w:u w:val="single"/>
        </w:rPr>
        <w:t xml:space="preserve"> муниципального образования Крымский район</w:t>
      </w:r>
    </w:p>
    <w:p w:rsidR="00C30F05" w:rsidRPr="003D1737" w:rsidRDefault="00814CC1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2014-2015</w:t>
      </w:r>
      <w:r w:rsidR="00C30F05" w:rsidRPr="003D1737">
        <w:rPr>
          <w:b/>
          <w:szCs w:val="28"/>
        </w:rPr>
        <w:t xml:space="preserve"> учебном году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F12C31">
      <w:pPr>
        <w:pStyle w:val="ad"/>
        <w:jc w:val="center"/>
        <w:rPr>
          <w:szCs w:val="28"/>
        </w:rPr>
      </w:pPr>
      <w:r w:rsidRPr="003D1737">
        <w:rPr>
          <w:b/>
          <w:szCs w:val="28"/>
          <w:lang w:val="en-US"/>
        </w:rPr>
        <w:t>II</w:t>
      </w:r>
      <w:r w:rsidRPr="003D1737">
        <w:rPr>
          <w:b/>
          <w:szCs w:val="28"/>
        </w:rPr>
        <w:t>. Аналитическая часть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6033">
        <w:rPr>
          <w:rFonts w:ascii="Times New Roman" w:hAnsi="Times New Roman"/>
          <w:sz w:val="28"/>
          <w:szCs w:val="28"/>
        </w:rPr>
        <w:t>Осуществлять координацию действий методических объединений и творческих групп учителей по различным инновационным направлениям.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 xml:space="preserve">2.Оказывать методическую помощь по </w:t>
      </w:r>
      <w:r>
        <w:rPr>
          <w:rFonts w:ascii="Times New Roman" w:hAnsi="Times New Roman"/>
          <w:sz w:val="28"/>
          <w:szCs w:val="28"/>
        </w:rPr>
        <w:t>составлению рабочих программ 1-5</w:t>
      </w:r>
      <w:r w:rsidRPr="00C26033">
        <w:rPr>
          <w:rFonts w:ascii="Times New Roman" w:hAnsi="Times New Roman"/>
          <w:sz w:val="28"/>
          <w:szCs w:val="28"/>
        </w:rPr>
        <w:t xml:space="preserve"> классов при переходе на ФГОС начального общего образования,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C26033">
        <w:rPr>
          <w:rFonts w:ascii="Times New Roman" w:hAnsi="Times New Roman"/>
          <w:sz w:val="28"/>
          <w:szCs w:val="28"/>
        </w:rPr>
        <w:t>элективных курсов.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3.Эффективно использовать образовательные и воспитательные методики и технологии, связанные с внедрением новых образовательных стандартов на основе компетентностного подхода.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4.Осуществлять сопровождение творческой, научно-исследовательской, проектной и инновационной деятельности, стимулировать инициативу педагогов.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5.Развивать творческие связи с образовательными учреждениями города, с учреждениями дополнительного образования, с общественными организациями города и поселка для создания условий, способствующих успешной самореализации и социализации обучающихся.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6.Подготовить школьников к самостоятельной продуктивной исследовательской деятельности в условиях информационного общества, создать условия для развития познавательных интересов, индивидуальных творческих способностей учащихся через подготовку и участие учащихся в олимпиадах, конференциях, конкурсах  различного уровня.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lastRenderedPageBreak/>
        <w:t>7.Систематически анализировать уровень сформированности  профессиональных  компетентностей  педагога посредством мониторинговых исследований.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8.Мотивировать учителей на непрерывное повышение педагогического мастерства через прохождение дистанционных курсов.</w:t>
      </w:r>
    </w:p>
    <w:p w:rsidR="00990AD2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9.Работать над созданием условий для самореализации молодых педагогов, для приобретения ими практических навыков, необходимых для педагогической  деятельности, закрепления молодых специалистов в коллективе.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 w:rsidRPr="00C260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26033">
        <w:rPr>
          <w:rFonts w:ascii="Times New Roman" w:hAnsi="Times New Roman"/>
          <w:sz w:val="28"/>
          <w:szCs w:val="28"/>
        </w:rPr>
        <w:t>.Создание системы социально-педагогической, психологической, правовой защиты детей и подростков.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26033">
        <w:rPr>
          <w:rFonts w:ascii="Times New Roman" w:hAnsi="Times New Roman"/>
          <w:sz w:val="28"/>
          <w:szCs w:val="28"/>
        </w:rPr>
        <w:t>.Совершенствование системы воспитательной работы в классных коллективах.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26033">
        <w:rPr>
          <w:rFonts w:ascii="Times New Roman" w:hAnsi="Times New Roman"/>
          <w:sz w:val="28"/>
          <w:szCs w:val="28"/>
        </w:rPr>
        <w:t>.Совершенствование оздоровительной работы с учащимися и прививать навыки здорового образа жизни, развитие коммуникативных навыков и формирование методов бесконфликтного общения;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26033">
        <w:rPr>
          <w:rFonts w:ascii="Times New Roman" w:hAnsi="Times New Roman"/>
          <w:sz w:val="28"/>
          <w:szCs w:val="28"/>
        </w:rPr>
        <w:t>.Формирование у детей гражданско -патриотического сознания;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26033">
        <w:rPr>
          <w:rFonts w:ascii="Times New Roman" w:hAnsi="Times New Roman"/>
          <w:sz w:val="28"/>
          <w:szCs w:val="28"/>
        </w:rPr>
        <w:t>.Развитие инновационных форм профилактической работы с семьями и детьми, находящихся в социально- опасном положении и трудной жизненной ситуации;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26033">
        <w:rPr>
          <w:rFonts w:ascii="Times New Roman" w:hAnsi="Times New Roman"/>
          <w:sz w:val="28"/>
          <w:szCs w:val="28"/>
        </w:rPr>
        <w:t>.Усиление работы с учащимися по активизации ученического самоуправления.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26033">
        <w:rPr>
          <w:rFonts w:ascii="Times New Roman" w:hAnsi="Times New Roman"/>
          <w:sz w:val="28"/>
          <w:szCs w:val="28"/>
        </w:rPr>
        <w:t>.Создание условий для участия семей в воспитательном процессе, привлечение родителей к участию в управлении образовательным учреждением.</w:t>
      </w:r>
    </w:p>
    <w:p w:rsidR="00990AD2" w:rsidRPr="00C26033" w:rsidRDefault="00990AD2" w:rsidP="00990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26033">
        <w:rPr>
          <w:rFonts w:ascii="Times New Roman" w:hAnsi="Times New Roman"/>
          <w:sz w:val="28"/>
          <w:szCs w:val="28"/>
        </w:rPr>
        <w:t>.Качественное улучшение индивидуальной работы с учащимися группы риска, опекаемыми  и другими социально незащищёнными категориями детей.</w:t>
      </w:r>
    </w:p>
    <w:p w:rsidR="00494659" w:rsidRDefault="000518CC" w:rsidP="00814CC1">
      <w:r w:rsidRPr="003D1737">
        <w:rPr>
          <w:rFonts w:ascii="Times New Roman" w:hAnsi="Times New Roman" w:cs="Times New Roman"/>
          <w:sz w:val="28"/>
          <w:szCs w:val="28"/>
        </w:rPr>
        <w:tab/>
        <w:t>Директор школы                                                   М.А. Стегно</w:t>
      </w:r>
    </w:p>
    <w:sectPr w:rsidR="00494659" w:rsidSect="00233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C3" w:rsidRDefault="008F09C3" w:rsidP="00233505">
      <w:pPr>
        <w:spacing w:after="0" w:line="240" w:lineRule="auto"/>
      </w:pPr>
      <w:r>
        <w:separator/>
      </w:r>
    </w:p>
  </w:endnote>
  <w:endnote w:type="continuationSeparator" w:id="1">
    <w:p w:rsidR="008F09C3" w:rsidRDefault="008F09C3" w:rsidP="002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C3" w:rsidRDefault="008F09C3" w:rsidP="00233505">
      <w:pPr>
        <w:spacing w:after="0" w:line="240" w:lineRule="auto"/>
      </w:pPr>
      <w:r>
        <w:separator/>
      </w:r>
    </w:p>
  </w:footnote>
  <w:footnote w:type="continuationSeparator" w:id="1">
    <w:p w:rsidR="008F09C3" w:rsidRDefault="008F09C3" w:rsidP="00233505">
      <w:pPr>
        <w:spacing w:after="0" w:line="240" w:lineRule="auto"/>
      </w:pPr>
      <w:r>
        <w:continuationSeparator/>
      </w:r>
    </w:p>
  </w:footnote>
  <w:footnote w:id="2">
    <w:p w:rsidR="005A2214" w:rsidRDefault="005A2214" w:rsidP="00233505">
      <w:pPr>
        <w:pStyle w:val="a5"/>
      </w:pPr>
      <w:r>
        <w:rPr>
          <w:rStyle w:val="af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3">
    <w:p w:rsidR="005A2214" w:rsidRDefault="005A2214" w:rsidP="00233505">
      <w:pPr>
        <w:pStyle w:val="a5"/>
      </w:pPr>
      <w:r>
        <w:rPr>
          <w:rStyle w:val="af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5A2214" w:rsidRDefault="005A2214" w:rsidP="00233505">
      <w:pPr>
        <w:pStyle w:val="a5"/>
      </w:pPr>
      <w:r>
        <w:rPr>
          <w:rStyle w:val="af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5A2214" w:rsidRDefault="005A2214" w:rsidP="00233505">
      <w:pPr>
        <w:pStyle w:val="a5"/>
      </w:pPr>
      <w:r>
        <w:rPr>
          <w:rStyle w:val="af"/>
        </w:rPr>
        <w:footnoteRef/>
      </w:r>
      <w:r>
        <w:t xml:space="preserve"> 2008 и 2009 финансовые годы </w:t>
      </w:r>
    </w:p>
  </w:footnote>
  <w:footnote w:id="6">
    <w:p w:rsidR="005A2214" w:rsidRDefault="005A2214" w:rsidP="00233505">
      <w:pPr>
        <w:pStyle w:val="a5"/>
      </w:pPr>
      <w:r>
        <w:rPr>
          <w:rStyle w:val="af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381"/>
    <w:multiLevelType w:val="hybridMultilevel"/>
    <w:tmpl w:val="5A1C581C"/>
    <w:lvl w:ilvl="0" w:tplc="3940C10C">
      <w:start w:val="1"/>
      <w:numFmt w:val="decimal"/>
      <w:lvlText w:val="%1."/>
      <w:lvlJc w:val="left"/>
      <w:pPr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05"/>
    <w:rsid w:val="000518CC"/>
    <w:rsid w:val="000873DB"/>
    <w:rsid w:val="000875DD"/>
    <w:rsid w:val="00093E77"/>
    <w:rsid w:val="000B1245"/>
    <w:rsid w:val="00142F79"/>
    <w:rsid w:val="00142FD1"/>
    <w:rsid w:val="00147EA2"/>
    <w:rsid w:val="00153798"/>
    <w:rsid w:val="001B192E"/>
    <w:rsid w:val="001C171C"/>
    <w:rsid w:val="0022197E"/>
    <w:rsid w:val="00233505"/>
    <w:rsid w:val="00293229"/>
    <w:rsid w:val="002C06BC"/>
    <w:rsid w:val="002D2FEA"/>
    <w:rsid w:val="002F2639"/>
    <w:rsid w:val="00307147"/>
    <w:rsid w:val="003302ED"/>
    <w:rsid w:val="003431A0"/>
    <w:rsid w:val="003B7C1A"/>
    <w:rsid w:val="00442702"/>
    <w:rsid w:val="00494195"/>
    <w:rsid w:val="00494659"/>
    <w:rsid w:val="00496AD8"/>
    <w:rsid w:val="004E4CA4"/>
    <w:rsid w:val="004E623A"/>
    <w:rsid w:val="00570A50"/>
    <w:rsid w:val="005746F9"/>
    <w:rsid w:val="005903C3"/>
    <w:rsid w:val="005A2214"/>
    <w:rsid w:val="00733A64"/>
    <w:rsid w:val="0078063B"/>
    <w:rsid w:val="007B300E"/>
    <w:rsid w:val="007D3D09"/>
    <w:rsid w:val="007E5B8E"/>
    <w:rsid w:val="007F6D4A"/>
    <w:rsid w:val="00814CC1"/>
    <w:rsid w:val="00855B78"/>
    <w:rsid w:val="008B0B84"/>
    <w:rsid w:val="008D53E0"/>
    <w:rsid w:val="008F09C3"/>
    <w:rsid w:val="0091611A"/>
    <w:rsid w:val="00990AD2"/>
    <w:rsid w:val="009C2FBA"/>
    <w:rsid w:val="00A01609"/>
    <w:rsid w:val="00AE0DF3"/>
    <w:rsid w:val="00B073CC"/>
    <w:rsid w:val="00C30F05"/>
    <w:rsid w:val="00CA379A"/>
    <w:rsid w:val="00CF240F"/>
    <w:rsid w:val="00D95409"/>
    <w:rsid w:val="00DA6C87"/>
    <w:rsid w:val="00E3188E"/>
    <w:rsid w:val="00F12C31"/>
    <w:rsid w:val="00F30B4D"/>
    <w:rsid w:val="00F736BA"/>
    <w:rsid w:val="00FA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D"/>
  </w:style>
  <w:style w:type="paragraph" w:styleId="1">
    <w:name w:val="heading 1"/>
    <w:basedOn w:val="a"/>
    <w:next w:val="a"/>
    <w:link w:val="10"/>
    <w:qFormat/>
    <w:rsid w:val="0023350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05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unhideWhenUsed/>
    <w:rsid w:val="002335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3350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35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335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33505"/>
    <w:rPr>
      <w:rFonts w:ascii="Tahoma" w:eastAsia="Times New Roman" w:hAnsi="Tahoma" w:cs="Tahoma"/>
      <w:sz w:val="16"/>
      <w:szCs w:val="16"/>
    </w:rPr>
  </w:style>
  <w:style w:type="paragraph" w:customStyle="1" w:styleId="ad">
    <w:name w:val="МОН основной"/>
    <w:basedOn w:val="a"/>
    <w:rsid w:val="00233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Знак"/>
    <w:basedOn w:val="a"/>
    <w:rsid w:val="002335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">
    <w:name w:val="footnote reference"/>
    <w:basedOn w:val="a0"/>
    <w:semiHidden/>
    <w:unhideWhenUsed/>
    <w:rsid w:val="00233505"/>
    <w:rPr>
      <w:vertAlign w:val="superscript"/>
    </w:rPr>
  </w:style>
  <w:style w:type="character" w:styleId="af0">
    <w:name w:val="endnote reference"/>
    <w:basedOn w:val="a0"/>
    <w:semiHidden/>
    <w:unhideWhenUsed/>
    <w:rsid w:val="00233505"/>
    <w:rPr>
      <w:vertAlign w:val="superscript"/>
    </w:rPr>
  </w:style>
  <w:style w:type="table" w:styleId="af1">
    <w:name w:val="Table Grid"/>
    <w:basedOn w:val="a1"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soh4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-27-soh-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A51C-9BA2-4956-BD58-E20E1588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№45</dc:creator>
  <cp:lastModifiedBy>география</cp:lastModifiedBy>
  <cp:revision>2</cp:revision>
  <cp:lastPrinted>2014-08-29T04:07:00Z</cp:lastPrinted>
  <dcterms:created xsi:type="dcterms:W3CDTF">2015-09-10T09:58:00Z</dcterms:created>
  <dcterms:modified xsi:type="dcterms:W3CDTF">2015-09-10T09:58:00Z</dcterms:modified>
</cp:coreProperties>
</file>